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黑体" w:hAnsi="黑体" w:eastAsia="黑体" w:cs="黑体"/>
          <w:sz w:val="34"/>
          <w:szCs w:val="34"/>
          <w:lang w:val="en-US" w:eastAsia="zh-CN"/>
        </w:rPr>
      </w:pPr>
      <w:bookmarkStart w:id="0" w:name="_GoBack"/>
      <w:bookmarkEnd w:id="0"/>
      <w:r>
        <w:rPr>
          <w:rFonts w:hint="eastAsia" w:ascii="黑体" w:hAnsi="黑体" w:eastAsia="黑体" w:cs="黑体"/>
          <w:sz w:val="34"/>
          <w:szCs w:val="34"/>
          <w:lang w:eastAsia="zh-CN"/>
        </w:rPr>
        <w:t>附件</w:t>
      </w:r>
      <w:r>
        <w:rPr>
          <w:rFonts w:hint="eastAsia" w:ascii="黑体" w:hAnsi="黑体" w:eastAsia="黑体" w:cs="黑体"/>
          <w:sz w:val="34"/>
          <w:szCs w:val="34"/>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蓟州区实践锻炼人选需求表</w:t>
      </w:r>
    </w:p>
    <w:tbl>
      <w:tblPr>
        <w:tblStyle w:val="5"/>
        <w:tblW w:w="15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15"/>
        <w:gridCol w:w="1618"/>
        <w:gridCol w:w="2689"/>
        <w:gridCol w:w="4540"/>
        <w:gridCol w:w="5845"/>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blHeader/>
          <w:jc w:val="center"/>
        </w:trPr>
        <w:tc>
          <w:tcPr>
            <w:tcW w:w="6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Calibri" w:hAnsi="Calibri" w:eastAsia="宋体" w:cs="Times New Roman"/>
                <w:kern w:val="2"/>
                <w:sz w:val="34"/>
                <w:szCs w:val="34"/>
                <w:vertAlign w:val="baseline"/>
                <w:lang w:val="en-US" w:eastAsia="zh-CN" w:bidi="ar-SA"/>
              </w:rPr>
            </w:pPr>
            <w:r>
              <w:rPr>
                <w:rFonts w:hint="eastAsia" w:ascii="黑体" w:hAnsi="宋体" w:eastAsia="黑体" w:cs="黑体"/>
                <w:i w:val="0"/>
                <w:color w:val="000000"/>
                <w:kern w:val="0"/>
                <w:sz w:val="34"/>
                <w:szCs w:val="34"/>
                <w:u w:val="none"/>
                <w:lang w:val="en-US" w:eastAsia="zh-CN" w:bidi="ar"/>
              </w:rPr>
              <w:t>序号</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Calibri" w:hAnsi="Calibri" w:eastAsia="宋体" w:cs="Times New Roman"/>
                <w:kern w:val="2"/>
                <w:sz w:val="34"/>
                <w:szCs w:val="34"/>
                <w:vertAlign w:val="baseline"/>
                <w:lang w:val="en-US" w:eastAsia="zh-CN" w:bidi="ar-SA"/>
              </w:rPr>
            </w:pPr>
            <w:r>
              <w:rPr>
                <w:rFonts w:hint="eastAsia" w:ascii="黑体" w:hAnsi="宋体" w:eastAsia="黑体" w:cs="黑体"/>
                <w:i w:val="0"/>
                <w:color w:val="000000"/>
                <w:kern w:val="0"/>
                <w:sz w:val="34"/>
                <w:szCs w:val="34"/>
                <w:u w:val="none"/>
                <w:lang w:val="en-US" w:eastAsia="zh-CN" w:bidi="ar"/>
              </w:rPr>
              <w:t>单位</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kern w:val="0"/>
                <w:sz w:val="34"/>
                <w:szCs w:val="34"/>
                <w:u w:val="none"/>
                <w:lang w:val="en-US" w:eastAsia="zh-CN" w:bidi="ar"/>
              </w:rPr>
            </w:pPr>
            <w:r>
              <w:rPr>
                <w:rFonts w:hint="eastAsia" w:ascii="黑体" w:hAnsi="宋体" w:eastAsia="黑体" w:cs="黑体"/>
                <w:i w:val="0"/>
                <w:color w:val="000000"/>
                <w:kern w:val="0"/>
                <w:sz w:val="34"/>
                <w:szCs w:val="34"/>
                <w:u w:val="none"/>
                <w:lang w:val="en-US" w:eastAsia="zh-CN" w:bidi="ar"/>
              </w:rPr>
              <w:t>拟开展</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Calibri" w:hAnsi="Calibri" w:eastAsia="宋体" w:cs="Times New Roman"/>
                <w:kern w:val="2"/>
                <w:sz w:val="34"/>
                <w:szCs w:val="34"/>
                <w:vertAlign w:val="baseline"/>
                <w:lang w:val="en-US" w:eastAsia="zh-CN" w:bidi="ar-SA"/>
              </w:rPr>
            </w:pPr>
            <w:r>
              <w:rPr>
                <w:rFonts w:hint="eastAsia" w:ascii="黑体" w:hAnsi="宋体" w:eastAsia="黑体" w:cs="黑体"/>
                <w:i w:val="0"/>
                <w:color w:val="000000"/>
                <w:kern w:val="0"/>
                <w:sz w:val="34"/>
                <w:szCs w:val="34"/>
                <w:u w:val="none"/>
                <w:lang w:val="en-US" w:eastAsia="zh-CN" w:bidi="ar"/>
              </w:rPr>
              <w:t>合作项目</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Calibri" w:hAnsi="Calibri" w:eastAsia="宋体" w:cs="Times New Roman"/>
                <w:kern w:val="2"/>
                <w:sz w:val="34"/>
                <w:szCs w:val="34"/>
                <w:vertAlign w:val="baseline"/>
                <w:lang w:val="en-US" w:eastAsia="zh-CN" w:bidi="ar-SA"/>
              </w:rPr>
            </w:pPr>
            <w:r>
              <w:rPr>
                <w:rFonts w:hint="eastAsia" w:ascii="黑体" w:hAnsi="宋体" w:eastAsia="黑体" w:cs="黑体"/>
                <w:i w:val="0"/>
                <w:color w:val="000000"/>
                <w:kern w:val="0"/>
                <w:sz w:val="34"/>
                <w:szCs w:val="34"/>
                <w:u w:val="none"/>
                <w:lang w:val="en-US" w:eastAsia="zh-CN" w:bidi="ar"/>
              </w:rPr>
              <w:t>具体工作职责</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Calibri" w:hAnsi="Calibri" w:eastAsia="宋体" w:cs="Times New Roman"/>
                <w:kern w:val="2"/>
                <w:sz w:val="34"/>
                <w:szCs w:val="34"/>
                <w:vertAlign w:val="baseline"/>
                <w:lang w:val="en-US" w:eastAsia="zh-CN" w:bidi="ar-SA"/>
              </w:rPr>
            </w:pPr>
            <w:r>
              <w:rPr>
                <w:rFonts w:hint="eastAsia" w:ascii="黑体" w:hAnsi="宋体" w:eastAsia="黑体" w:cs="黑体"/>
                <w:i w:val="0"/>
                <w:color w:val="000000"/>
                <w:kern w:val="0"/>
                <w:sz w:val="34"/>
                <w:szCs w:val="34"/>
                <w:u w:val="none"/>
                <w:lang w:val="en-US" w:eastAsia="zh-CN" w:bidi="ar"/>
              </w:rPr>
              <w:t>人选条件</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kern w:val="0"/>
                <w:sz w:val="34"/>
                <w:szCs w:val="34"/>
                <w:u w:val="none"/>
                <w:lang w:val="en-US" w:eastAsia="zh-CN" w:bidi="ar"/>
              </w:rPr>
            </w:pPr>
            <w:r>
              <w:rPr>
                <w:rFonts w:hint="eastAsia" w:ascii="黑体" w:hAnsi="宋体" w:eastAsia="黑体" w:cs="黑体"/>
                <w:i w:val="0"/>
                <w:color w:val="000000"/>
                <w:kern w:val="0"/>
                <w:sz w:val="34"/>
                <w:szCs w:val="34"/>
                <w:u w:val="none"/>
                <w:lang w:val="en-US" w:eastAsia="zh-CN" w:bidi="ar"/>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区检察院</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电诈、保险、税务案件</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参与办理重大复杂的合同诈骗、电信诈骗、税务案件指导。</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1.硕士研究生及以上学历；2.具有保险诈骗、税务、涉众类案件办理工作经验。</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2</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区发改委</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研究拟定蓟州区京津冀协同发展规划</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协助区发改委研究拟定蓟州区京津冀协同发展规划，推动协同发展工作取得务实成效。</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1.硕士研究生及以上学历；2.熟悉经济管理、社会发展规划和京津冀协同发展政策；3.协调组织能力强，具有较高的文字表达能力。</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507" w:hRule="atLeast"/>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3</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区工信局</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工业经济转型升级、产业链建设、招商引资等项目</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负责产业链招商研究策划工作，拓展渠道资源，开展企业客户的挖掘引进、商务洽谈等工作。</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1.硕士研究生及以上学历，经济管理类专业；2.了解工业信息化产业发展相关基础知识，在工业产业链招商引资方面具有一定能力和资源渠道；3.在工业招商引资方面有一年以上的工作经历。</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4</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区金融局</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加强地方金融管理和加大招商力度，推动金融服务和企业上市工作</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研究分析宏观金融形势、国家金融政策和本区金融运行情况，提出对策建议；2.为驻区金融机构做好服务工作和信息交流工作，为本区各类金融机构规范发展提供服务；3.参与研究政府重大项目的融资计划和方案，引导金融机构为重点工程、主导产业、重要区域发展提供融资支持；4.负责金融数据统计分析，建立金融风险预警机制。</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11"/>
                <w:kern w:val="0"/>
                <w:sz w:val="32"/>
                <w:szCs w:val="32"/>
                <w:u w:val="none"/>
                <w:lang w:val="en-US" w:eastAsia="zh-CN" w:bidi="ar"/>
              </w:rPr>
              <w:t>1.硕士研究生及以上学历，金融学、经济学、法学等专业；2.具有在银行、保险、信托、基金等金融机构8年以上从业经历,有一定基层领导岗位经验；3.熟悉金融政策，具有丰富融资经验，能够在金融服务实体经济及防范金融风险工作中发挥指导作用。</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spacing w:val="-11"/>
                <w:kern w:val="0"/>
                <w:sz w:val="32"/>
                <w:szCs w:val="32"/>
                <w:u w:val="none"/>
                <w:lang w:val="en-US" w:eastAsia="zh-CN" w:bidi="ar"/>
              </w:rPr>
            </w:pPr>
            <w:r>
              <w:rPr>
                <w:rFonts w:hint="eastAsia" w:ascii="仿宋_GB2312" w:hAnsi="宋体" w:eastAsia="仿宋_GB2312" w:cs="仿宋_GB2312"/>
                <w:i w:val="0"/>
                <w:color w:val="000000"/>
                <w:spacing w:val="-11"/>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82" w:hRule="atLeast"/>
          <w:jc w:val="center"/>
        </w:trPr>
        <w:tc>
          <w:tcPr>
            <w:tcW w:w="61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5</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区开发区</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多渠道融资项目</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为开发区系统内国有企业多渠道融资。</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1.博士研究生学历，金融学专业；2.具有金融、财务、法律等方面专业技术能力。</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6</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区农业农村委</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23"/>
                <w:kern w:val="0"/>
                <w:sz w:val="32"/>
                <w:szCs w:val="32"/>
                <w:u w:val="none"/>
                <w:lang w:val="en-US" w:eastAsia="zh-CN" w:bidi="ar"/>
              </w:rPr>
              <w:t>现代农业示范区创建</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围绕农业装备建设、完善农业产业链、发展生态循环农业、智慧农业等，开展创建相关工作。</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1.硕士研究生及以上学历，农业环保相关专业；2.具有从事农业环保、智慧农业相关工作经历的优先。</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7</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23"/>
                <w:kern w:val="0"/>
                <w:sz w:val="32"/>
                <w:szCs w:val="32"/>
                <w:u w:val="none"/>
                <w:lang w:val="en-US" w:eastAsia="zh-CN" w:bidi="ar"/>
              </w:rPr>
              <w:t>区委网信办</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数字项目建设</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指导全区数字经济及大数据工作开展。</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1.硕士研究生及以上学历；2.重点面向高校或研究院所大数据、数字经济、智慧城市等专业专家。</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826" w:hRule="atLeast"/>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8</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r>
              <w:rPr>
                <w:rFonts w:hint="eastAsia" w:ascii="仿宋_GB2312" w:hAnsi="宋体" w:eastAsia="仿宋_GB2312" w:cs="仿宋_GB2312"/>
                <w:i w:val="0"/>
                <w:color w:val="000000"/>
                <w:kern w:val="0"/>
                <w:sz w:val="32"/>
                <w:szCs w:val="32"/>
                <w:u w:val="none"/>
                <w:lang w:val="en-US" w:eastAsia="zh-CN" w:bidi="ar"/>
              </w:rPr>
              <w:t>区卫健委</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突发公共卫生事件的应急处置能力提升</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突发公共卫生事件的应急处置。</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17"/>
                <w:kern w:val="0"/>
                <w:sz w:val="32"/>
                <w:szCs w:val="32"/>
                <w:u w:val="none"/>
                <w:lang w:val="en-US" w:eastAsia="zh-CN" w:bidi="ar"/>
              </w:rPr>
              <w:t>1.硕士研究生及以上学历，传染病控制相关专业；2.具有突发事件的应急处置专业特长。</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spacing w:val="-11"/>
                <w:kern w:val="0"/>
                <w:sz w:val="32"/>
                <w:szCs w:val="32"/>
                <w:u w:val="none"/>
                <w:lang w:val="en-US" w:eastAsia="zh-CN" w:bidi="ar"/>
              </w:rPr>
            </w:pPr>
            <w:r>
              <w:rPr>
                <w:rFonts w:hint="eastAsia" w:ascii="仿宋_GB2312" w:hAnsi="宋体" w:eastAsia="仿宋_GB2312" w:cs="仿宋_GB2312"/>
                <w:i w:val="0"/>
                <w:color w:val="000000"/>
                <w:spacing w:val="-11"/>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983" w:hRule="atLeast"/>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9</w:t>
            </w:r>
          </w:p>
        </w:tc>
        <w:tc>
          <w:tcPr>
            <w:tcW w:w="16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现代医院管理制度规划设计</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区级医疗机构现代医院管理制度设计管理。</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1.硕士研究生及以上学历；2.具备相关大型医院管理经验，能够为区级医院管理、绩效考核进行顶层设计。</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default"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10</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r>
              <w:rPr>
                <w:rFonts w:hint="eastAsia" w:ascii="仿宋_GB2312" w:hAnsi="宋体" w:eastAsia="仿宋_GB2312" w:cs="仿宋_GB2312"/>
                <w:i w:val="0"/>
                <w:color w:val="000000"/>
                <w:kern w:val="0"/>
                <w:sz w:val="32"/>
                <w:szCs w:val="32"/>
                <w:u w:val="none"/>
                <w:lang w:val="en-US" w:eastAsia="zh-CN" w:bidi="ar"/>
              </w:rPr>
              <w:t>区教育局</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思想政治教育</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培训中小学思政教师，为学生及家长开展思政教育讲座，对中小学生进行思政教育。</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硕士研究生及以上学历，在思政教育领域具有较强特长。</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11</w:t>
            </w:r>
          </w:p>
        </w:tc>
        <w:tc>
          <w:tcPr>
            <w:tcW w:w="16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23"/>
                <w:kern w:val="0"/>
                <w:sz w:val="32"/>
                <w:szCs w:val="32"/>
                <w:u w:val="none"/>
                <w:lang w:val="en-US" w:eastAsia="zh-CN" w:bidi="ar"/>
              </w:rPr>
              <w:t>干部、教师岗位培训</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负责蓟州区教育系统干部管理能力和教师业务能力培训。</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硕士研究生及以上学历，在学校管理和课堂教学方面具备专长。</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12</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r>
              <w:rPr>
                <w:rFonts w:hint="eastAsia" w:ascii="仿宋_GB2312" w:hAnsi="宋体" w:eastAsia="仿宋_GB2312" w:cs="仿宋_GB2312"/>
                <w:i w:val="0"/>
                <w:color w:val="000000"/>
                <w:kern w:val="0"/>
                <w:sz w:val="32"/>
                <w:szCs w:val="32"/>
                <w:u w:val="none"/>
                <w:lang w:val="en-US" w:eastAsia="zh-CN" w:bidi="ar"/>
              </w:rPr>
              <w:t>区生态环境局</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23"/>
                <w:kern w:val="0"/>
                <w:sz w:val="32"/>
                <w:szCs w:val="32"/>
                <w:u w:val="none"/>
                <w:lang w:val="en-US" w:eastAsia="zh-CN" w:bidi="ar"/>
              </w:rPr>
              <w:t>于桥水库水生态保护</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探索于桥水库藻华治理。</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博士研究生学历，具有从事水环境治理相关工作经验。</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13</w:t>
            </w:r>
          </w:p>
        </w:tc>
        <w:tc>
          <w:tcPr>
            <w:tcW w:w="16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臭氧污染防治</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研究探索大气臭氧污染防治工作路径。</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博士研究生学历，具有大气、臭氧污染防治工作经验。</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14</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区网格化管理中心</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网格化管理工作平台项目</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网格化管理工作平台的顶层设计、技术支撑。</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1.硕士研究生及以上学历，计算机网络技术开发和应用、计算机科学与技术、软件工程、物联网技术等相关专业；2.具有软件系统开发能力，能够参与完成软件系统的设计开发。</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default"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15</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r>
              <w:rPr>
                <w:rFonts w:hint="eastAsia" w:ascii="仿宋_GB2312" w:hAnsi="宋体" w:eastAsia="仿宋_GB2312" w:cs="仿宋_GB2312"/>
                <w:i w:val="0"/>
                <w:color w:val="000000"/>
                <w:kern w:val="0"/>
                <w:sz w:val="32"/>
                <w:szCs w:val="32"/>
                <w:u w:val="none"/>
                <w:lang w:val="en-US" w:eastAsia="zh-CN" w:bidi="ar"/>
              </w:rPr>
              <w:t>区市场监管局</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以建设科学高效的安全检验机制为主线，全面实施“人才强检”战略，打造蓟州特检品牌</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蓟州区内特种设备监督检验与定期检验工作。</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第一学历要求硕士研究生及以上，年龄在35周岁及以下，具有特种设备检验资质的年龄可放宽至40周岁；2.机电、机电一体化、机械设计制造及其自动化、物理学及相近理工类专业，具有特种设备检验检测或相关行业工作经验。</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16</w:t>
            </w:r>
          </w:p>
        </w:tc>
        <w:tc>
          <w:tcPr>
            <w:tcW w:w="16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农药残留兽药残留检测</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1.熟悉气相色谱串联质谱仪、液相色谱串联质谱仪原理，并能熟练操作相应设备；2.熟悉相应的农兽药残留检测标准，并独立开发农残兽药残留的检测方法；3.培养2-3名能够独立开展检测农兽药残留的检验人员。</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1.硕士研究生及以上学历，食品检测专业或食品相关专业；2.能够熟练操作气相色谱串联质谱仪（GC-MS）、液相色谱串联质谱仪（LC-MS）。</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17</w:t>
            </w:r>
          </w:p>
        </w:tc>
        <w:tc>
          <w:tcPr>
            <w:tcW w:w="16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r>
              <w:rPr>
                <w:rFonts w:hint="eastAsia" w:ascii="仿宋_GB2312" w:hAnsi="宋体" w:eastAsia="仿宋_GB2312" w:cs="仿宋_GB2312"/>
                <w:i w:val="0"/>
                <w:color w:val="000000"/>
                <w:kern w:val="0"/>
                <w:sz w:val="32"/>
                <w:szCs w:val="32"/>
                <w:u w:val="none"/>
                <w:lang w:val="en-US" w:eastAsia="zh-CN" w:bidi="ar"/>
              </w:rPr>
              <w:t>区委党校</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23"/>
                <w:kern w:val="0"/>
                <w:sz w:val="32"/>
                <w:szCs w:val="32"/>
                <w:u w:val="none"/>
                <w:lang w:val="en-US" w:eastAsia="zh-CN" w:bidi="ar"/>
              </w:rPr>
              <w:t>马克思主义理论课题</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马克思主义理论课题申报和理论研究。</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硕士研究生及以上学历，马克思主义理论研究方向。</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18</w:t>
            </w:r>
          </w:p>
        </w:tc>
        <w:tc>
          <w:tcPr>
            <w:tcW w:w="161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vertAlign w:val="baseline"/>
                <w:lang w:eastAsia="zh-CN"/>
              </w:rPr>
            </w:pP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生态文明课题</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生态文明课题申报和理论研究。</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硕士研究生及以上学历，具有生态文明领域专业化知识。</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19</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城投公司</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乡村振兴产业相关项目</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1.开展专业技术指导等工作；2.参与企业转型发展，努力帮助企业解决专业难题；3.运用专业知识及人脉推进相关企业和个人参与城投公司乡村振兴产业相关项目。</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博士研究生学历，具有高级专业技术职务的优先；2.具有较强工作能力及乡村振兴产业方面的工作经验；3.专业特长为农业资源与环境专业、智慧农业专业、旅游管理专业（康养旅游方向）、文化产业管理专业、医疗健康专业等。</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default"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20</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下营镇</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产业强镇、乡村振兴示范村项目</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培育壮大产业实体、扩充产业项目、乡村振兴示范村建设。</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11"/>
                <w:kern w:val="0"/>
                <w:sz w:val="32"/>
                <w:szCs w:val="32"/>
                <w:u w:val="none"/>
                <w:lang w:val="en-US" w:eastAsia="zh-CN" w:bidi="ar"/>
              </w:rPr>
              <w:t>1.硕士研究生及以上学历，经济产业类、城乡规划、市场营销推广等相关专业；2.具有从事农业农村、城乡规划相关工作经验。</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spacing w:val="-11"/>
                <w:kern w:val="0"/>
                <w:sz w:val="32"/>
                <w:szCs w:val="32"/>
                <w:u w:val="none"/>
                <w:lang w:val="en-US" w:eastAsia="zh-CN" w:bidi="ar"/>
              </w:rPr>
            </w:pPr>
            <w:r>
              <w:rPr>
                <w:rFonts w:hint="eastAsia" w:ascii="仿宋_GB2312" w:hAnsi="宋体" w:eastAsia="仿宋_GB2312" w:cs="仿宋_GB2312"/>
                <w:i w:val="0"/>
                <w:color w:val="000000"/>
                <w:spacing w:val="-11"/>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15" w:type="dxa"/>
            <w:noWrap w:val="0"/>
            <w:vAlign w:val="center"/>
          </w:tcPr>
          <w:p>
            <w:pPr>
              <w:keepNext w:val="0"/>
              <w:keepLines w:val="0"/>
              <w:widowControl/>
              <w:suppressLineNumbers w:val="0"/>
              <w:jc w:val="center"/>
              <w:textAlignment w:val="center"/>
              <w:rPr>
                <w:rFonts w:hint="default"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21</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罗庄子镇</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文旅开发项目</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20"/>
                <w:kern w:val="0"/>
                <w:sz w:val="32"/>
                <w:szCs w:val="32"/>
                <w:u w:val="none"/>
                <w:lang w:val="en-US" w:eastAsia="zh-CN" w:bidi="ar"/>
              </w:rPr>
              <w:t>文旅开发，民宿设计，旅游村规划。</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11"/>
                <w:kern w:val="0"/>
                <w:sz w:val="32"/>
                <w:szCs w:val="32"/>
                <w:u w:val="none"/>
                <w:lang w:val="en-US" w:eastAsia="zh-CN" w:bidi="ar"/>
              </w:rPr>
              <w:t>1.硕士研究生及以上学历，城乡规划、城市规划、土木工程、工程管理专业；2.具有设计、规划乡村旅游发展相关工作经验。</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spacing w:val="-11"/>
                <w:kern w:val="0"/>
                <w:sz w:val="32"/>
                <w:szCs w:val="32"/>
                <w:u w:val="none"/>
                <w:lang w:val="en-US" w:eastAsia="zh-CN" w:bidi="ar"/>
              </w:rPr>
            </w:pPr>
            <w:r>
              <w:rPr>
                <w:rFonts w:hint="eastAsia" w:ascii="仿宋_GB2312" w:hAnsi="宋体" w:eastAsia="仿宋_GB2312" w:cs="仿宋_GB2312"/>
                <w:i w:val="0"/>
                <w:color w:val="000000"/>
                <w:spacing w:val="-11"/>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33" w:hRule="atLeast"/>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22</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尤古庄镇</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乡村振兴项目</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积极寻求项目资源，制定项目可行性报告，致力于项目的计划、协调和执行。</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1.硕士研究生及以上学历，金融专业；</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2.具有5年以上金融相关工作经历。</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55" w:hRule="atLeast"/>
          <w:jc w:val="center"/>
        </w:trPr>
        <w:tc>
          <w:tcPr>
            <w:tcW w:w="61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23</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东二营镇</w:t>
            </w:r>
          </w:p>
        </w:tc>
        <w:tc>
          <w:tcPr>
            <w:tcW w:w="2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富硒产业</w:t>
            </w:r>
          </w:p>
        </w:tc>
        <w:tc>
          <w:tcPr>
            <w:tcW w:w="4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spacing w:val="-11"/>
                <w:kern w:val="0"/>
                <w:sz w:val="32"/>
                <w:szCs w:val="32"/>
                <w:u w:val="none"/>
                <w:lang w:val="en-US" w:eastAsia="zh-CN" w:bidi="ar"/>
              </w:rPr>
              <w:t>富硒产业规划，富硒农产品培育。</w:t>
            </w:r>
          </w:p>
        </w:tc>
        <w:tc>
          <w:tcPr>
            <w:tcW w:w="5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硕士研究生及以上，农学等相关专业。</w:t>
            </w:r>
          </w:p>
        </w:tc>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70" w:hRule="atLeast"/>
          <w:jc w:val="center"/>
        </w:trPr>
        <w:tc>
          <w:tcPr>
            <w:tcW w:w="615" w:type="dxa"/>
            <w:noWrap w:val="0"/>
            <w:vAlign w:val="center"/>
          </w:tcPr>
          <w:p>
            <w:pPr>
              <w:keepNext w:val="0"/>
              <w:keepLines w:val="0"/>
              <w:widowControl/>
              <w:suppressLineNumbers w:val="0"/>
              <w:jc w:val="center"/>
              <w:textAlignment w:val="center"/>
              <w:rPr>
                <w:rFonts w:hint="eastAsia" w:ascii="Calibri" w:hAnsi="Calibri" w:eastAsia="宋体" w:cs="Times New Roman"/>
                <w:kern w:val="2"/>
                <w:sz w:val="32"/>
                <w:szCs w:val="32"/>
                <w:vertAlign w:val="baseline"/>
                <w:lang w:val="en-US" w:eastAsia="zh-CN" w:bidi="ar-SA"/>
              </w:rPr>
            </w:pPr>
            <w:r>
              <w:rPr>
                <w:rFonts w:hint="eastAsia" w:ascii="仿宋_GB2312" w:hAnsi="宋体" w:eastAsia="仿宋_GB2312" w:cs="仿宋_GB2312"/>
                <w:i w:val="0"/>
                <w:color w:val="000000"/>
                <w:kern w:val="0"/>
                <w:sz w:val="32"/>
                <w:szCs w:val="32"/>
                <w:u w:val="none"/>
                <w:lang w:val="en-US" w:eastAsia="zh-CN" w:bidi="ar"/>
              </w:rPr>
              <w:t>24</w:t>
            </w:r>
          </w:p>
        </w:tc>
        <w:tc>
          <w:tcPr>
            <w:tcW w:w="16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上仓镇</w:t>
            </w:r>
          </w:p>
        </w:tc>
        <w:tc>
          <w:tcPr>
            <w:tcW w:w="2689" w:type="dxa"/>
            <w:noWrap w:val="0"/>
            <w:vAlign w:val="center"/>
          </w:tcPr>
          <w:p>
            <w:pPr>
              <w:widowControl/>
              <w:spacing w:line="360" w:lineRule="exact"/>
              <w:jc w:val="left"/>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olor w:val="auto"/>
                <w:sz w:val="32"/>
                <w:szCs w:val="32"/>
                <w:lang w:eastAsia="zh-CN"/>
              </w:rPr>
              <w:t>现代农业、旅游</w:t>
            </w:r>
          </w:p>
        </w:tc>
        <w:tc>
          <w:tcPr>
            <w:tcW w:w="4540" w:type="dxa"/>
            <w:noWrap w:val="0"/>
            <w:vAlign w:val="center"/>
          </w:tcPr>
          <w:p>
            <w:pPr>
              <w:widowControl/>
              <w:spacing w:line="360" w:lineRule="exact"/>
              <w:jc w:val="left"/>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olor w:val="auto"/>
                <w:sz w:val="32"/>
                <w:szCs w:val="32"/>
                <w:lang w:eastAsia="zh-CN"/>
              </w:rPr>
              <w:t>乡镇现代农业、旅游发展工作。</w:t>
            </w:r>
          </w:p>
        </w:tc>
        <w:tc>
          <w:tcPr>
            <w:tcW w:w="5845" w:type="dxa"/>
            <w:noWrap w:val="0"/>
            <w:vAlign w:val="center"/>
          </w:tcPr>
          <w:p>
            <w:pPr>
              <w:widowControl/>
              <w:spacing w:line="360" w:lineRule="exact"/>
              <w:jc w:val="left"/>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olor w:val="auto"/>
                <w:sz w:val="32"/>
                <w:szCs w:val="32"/>
                <w:lang w:eastAsia="zh-CN"/>
              </w:rPr>
              <w:t>硕士研究生、具备农业、旅游发展相关的技术能力及一年以上的相关工作经历。</w:t>
            </w:r>
          </w:p>
        </w:tc>
        <w:tc>
          <w:tcPr>
            <w:tcW w:w="554" w:type="dxa"/>
            <w:noWrap w:val="0"/>
            <w:vAlign w:val="center"/>
          </w:tcPr>
          <w:p>
            <w:pPr>
              <w:widowControl/>
              <w:spacing w:line="360"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p>
        </w:tc>
      </w:tr>
    </w:tbl>
    <w:p>
      <w:pPr>
        <w:keepNext w:val="0"/>
        <w:keepLines w:val="0"/>
        <w:pageBreakBefore w:val="0"/>
        <w:widowControl w:val="0"/>
        <w:kinsoku/>
        <w:wordWrap/>
        <w:overflowPunct/>
        <w:topLinePunct w:val="0"/>
        <w:autoSpaceDE/>
        <w:autoSpaceDN/>
        <w:bidi w:val="0"/>
        <w:adjustRightInd/>
        <w:snapToGrid/>
        <w:spacing w:after="157" w:afterLines="50" w:line="240" w:lineRule="atLeast"/>
        <w:jc w:val="both"/>
        <w:textAlignment w:val="auto"/>
        <w:rPr>
          <w:rFonts w:hint="eastAsia" w:ascii="方正小标宋简体" w:hAnsi="方正小标宋简体" w:eastAsia="方正小标宋简体" w:cs="方正小标宋简体"/>
          <w:sz w:val="44"/>
          <w:szCs w:val="44"/>
          <w:lang w:eastAsia="zh-CN"/>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B7F9F"/>
    <w:rsid w:val="23FC6EF4"/>
    <w:rsid w:val="3EAB0813"/>
    <w:rsid w:val="5BE25793"/>
    <w:rsid w:val="7FAE4CC8"/>
    <w:rsid w:val="7FFF4CD4"/>
    <w:rsid w:val="A3F7962E"/>
    <w:rsid w:val="BBFF5EEF"/>
    <w:rsid w:val="BFD20CEE"/>
    <w:rsid w:val="C7FF4FC0"/>
    <w:rsid w:val="EBCD0436"/>
    <w:rsid w:val="EC47969D"/>
    <w:rsid w:val="FF9BCEC7"/>
    <w:rsid w:val="FFFF71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2427</Words>
  <Characters>2500</Characters>
  <Lines>0</Lines>
  <Paragraphs>0</Paragraphs>
  <TotalTime>25</TotalTime>
  <ScaleCrop>false</ScaleCrop>
  <LinksUpToDate>false</LinksUpToDate>
  <CharactersWithSpaces>2500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刘彤</cp:lastModifiedBy>
  <cp:lastPrinted>2022-08-04T11:49:53Z</cp:lastPrinted>
  <dcterms:modified xsi:type="dcterms:W3CDTF">2022-08-30T03:02:13Z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A895B6ED67BA438DBAD109A38A84BC86</vt:lpwstr>
  </property>
</Properties>
</file>